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EB" w:rsidRDefault="00447131">
      <w:r w:rsidRPr="00447131">
        <w:t xml:space="preserve">Abierta la 2ª convocatoria de ventanas de movilidad de </w:t>
      </w:r>
      <w:proofErr w:type="spellStart"/>
      <w:r w:rsidRPr="00447131">
        <w:t>Arqus</w:t>
      </w:r>
      <w:proofErr w:type="spellEnd"/>
    </w:p>
    <w:p w:rsidR="00447131" w:rsidRPr="00447131" w:rsidRDefault="00447131" w:rsidP="004471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proofErr w:type="spellStart"/>
      <w:r w:rsidRPr="004471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Arqus</w:t>
      </w:r>
      <w:proofErr w:type="spellEnd"/>
      <w:r w:rsidRPr="004471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abre su 2ª convocatoria de ventanas de movilidad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La Alianza </w:t>
      </w:r>
      <w:proofErr w:type="spellStart"/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anuncia la apertura de la segunda convocatoria para la implantación de ventanas de movilidad en sus universidades miembro. La solicitud estará abierta hasta el próximo 21 de junio de 2024.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</w:t>
      </w:r>
      <w:hyperlink r:id="rId5" w:history="1">
        <w:r w:rsidRPr="00447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ventana de movilidad</w:t>
        </w:r>
      </w:hyperlink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</w:t>
      </w:r>
      <w:hyperlink r:id="rId6" w:history="1">
        <w:r w:rsidRPr="00447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define</w:t>
        </w:r>
      </w:hyperlink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un periodo de tiempo reservado para la movilidad internacional de los estudiantes e integrado en el plan de estudios de una titulación. Pueden ser más o menos flexibles en cuanto a la experiencia de movilidad, los contenidos y la duración.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Alianza está convencida de que la inclusión de movilidad estructurada en los planes de estudios </w:t>
      </w:r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reducirá obstáculos a la movilidad, fomentará la movilidad de estudiantes y personal y dará visibilidad a nuevas oportunidades de aprendizaje, innovadoras e internacionales.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objetivo principal de esta convocatoria es </w:t>
      </w:r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mejorar el atractivo y la excelencia tanto de las titulaciones como de la movilidad virtual y física</w:t>
      </w:r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>. Los estudiantes se beneficiarán de una oferta complementaria y de mayores oportunidades de estudio internacional, lo que en última instancia elevará la calidad general de la oferta académica.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Tras la primera convocatoria, que estuvo en curso de diciembre de 2023 a febrero de 2024, en esta segunda se asignará financiación a </w:t>
      </w:r>
      <w:hyperlink r:id="rId7" w:history="1">
        <w:r w:rsidRPr="004471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tres ventanas de movilidad</w:t>
        </w:r>
      </w:hyperlink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cada una de las cuales recibirá 3.000 euros, en las áreas de la estadística, las ciencias geológicas y </w:t>
      </w:r>
      <w:bookmarkStart w:id="0" w:name="_GoBack"/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>el medioambiente, y el cambio climático y la sostenibilidad.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quieres conocer más detalles sobre esta segunda convocatoria, visita </w:t>
      </w:r>
      <w:hyperlink r:id="rId8" w:history="1">
        <w:r w:rsidRPr="004471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esta página</w:t>
        </w:r>
      </w:hyperlink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obtener más información: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Comunicación </w:t>
      </w:r>
      <w:proofErr w:type="spellStart"/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UGR:</w:t>
      </w:r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9" w:history="1">
        <w:r w:rsidRPr="00447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arquscomunicacion@ugr.es</w:t>
        </w:r>
      </w:hyperlink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44713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Web </w:t>
      </w:r>
      <w:proofErr w:type="spellStart"/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UGR: </w:t>
      </w:r>
      <w:hyperlink r:id="rId10" w:history="1">
        <w:r w:rsidRPr="00447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arqus.ugr.es</w:t>
        </w:r>
      </w:hyperlink>
    </w:p>
    <w:p w:rsidR="00447131" w:rsidRPr="00447131" w:rsidRDefault="00447131" w:rsidP="0044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Web </w:t>
      </w:r>
      <w:proofErr w:type="spellStart"/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44713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hyperlink r:id="rId11" w:history="1">
        <w:r w:rsidRPr="004471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</w:t>
        </w:r>
        <w:r w:rsidRPr="00447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arqus-alliance.eu</w:t>
        </w:r>
      </w:hyperlink>
    </w:p>
    <w:bookmarkEnd w:id="0"/>
    <w:p w:rsidR="00447131" w:rsidRDefault="00447131"/>
    <w:sectPr w:rsidR="00447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31"/>
    <w:rsid w:val="00447131"/>
    <w:rsid w:val="007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qus-alliance.eu/call/implementation-of-mobility-windows-at-arqus-universities-2nd-cal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qus-alliance.eu/news/mobility-windows-first-call-result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mmens.de/dateien/medien/buecher-ebooks/aca/2013_mobility_windows.pdf" TargetMode="External"/><Relationship Id="rId11" Type="http://schemas.openxmlformats.org/officeDocument/2006/relationships/hyperlink" Target="https://arqus-alliance.eu/" TargetMode="External"/><Relationship Id="rId5" Type="http://schemas.openxmlformats.org/officeDocument/2006/relationships/hyperlink" Target="https://arqus-alliance.eu/call/mobility-windows/" TargetMode="External"/><Relationship Id="rId10" Type="http://schemas.openxmlformats.org/officeDocument/2006/relationships/hyperlink" Target="https://arqus.ugr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quscomunicacion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2024-04-25T07:16:00Z</dcterms:created>
  <dcterms:modified xsi:type="dcterms:W3CDTF">2024-04-25T07:24:00Z</dcterms:modified>
</cp:coreProperties>
</file>